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28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"consultantplus://offline/ref=377A9CE4098A6B1F9000E1503F3014E8E7ACAEACC1516F76990877FF5BF1B68C84F066D7C0DBEDA24C907CBDFA71B20C4F0EB9F2103D2F06u773I"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сетевой форме реализации</w:t>
      </w:r>
      <w:r>
        <w:rPr>
          <w:rFonts w:ascii="Times New Roman" w:hAnsi="Times New Roman"/>
          <w:sz w:val="24"/>
        </w:rPr>
        <w:t xml:space="preserve"> дополнительных обще</w:t>
      </w:r>
      <w:r>
        <w:rPr>
          <w:rFonts w:ascii="Times New Roman" w:hAnsi="Times New Roman"/>
          <w:sz w:val="24"/>
        </w:rPr>
        <w:t>образовательных программ</w:t>
      </w:r>
    </w:p>
    <w:p w14:paraId="03000000">
      <w:pPr>
        <w:pStyle w:val="Style_1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  <w:tblCellMar>
          <w:left w:type="dxa" w:w="0"/>
          <w:right w:type="dxa" w:w="0"/>
        </w:tblCellMar>
      </w:tblPr>
      <w:tblGrid>
        <w:gridCol w:w="5102"/>
        <w:gridCol w:w="5103"/>
      </w:tblGrid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4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 </w:t>
            </w:r>
            <w:r>
              <w:rPr>
                <w:rFonts w:ascii="Times New Roman" w:hAnsi="Times New Roman"/>
                <w:sz w:val="24"/>
              </w:rPr>
              <w:t>Орск</w:t>
            </w:r>
            <w:r>
              <w:rPr>
                <w:rFonts w:ascii="Times New Roman" w:hAnsi="Times New Roman"/>
                <w:sz w:val="24"/>
              </w:rPr>
              <w:t>__________</w:t>
            </w:r>
          </w:p>
        </w:tc>
        <w:tc>
          <w:tcPr>
            <w:tcW w:type="dxa" w:w="51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5000000">
            <w:pPr>
              <w:pStyle w:val="Style_1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"__"___________ ____ г.</w:t>
            </w:r>
          </w:p>
        </w:tc>
      </w:tr>
    </w:tbl>
    <w:p w14:paraId="06000000">
      <w:pPr>
        <w:pStyle w:val="Style_3"/>
        <w:ind/>
        <w:jc w:val="both"/>
        <w:rPr>
          <w:rFonts w:ascii="Times New Roman" w:hAnsi="Times New Roman"/>
          <w:color w:val="000000"/>
          <w:sz w:val="24"/>
          <w:highlight w:val="yellow"/>
        </w:rPr>
      </w:pPr>
    </w:p>
    <w:p w14:paraId="0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автономное образовательное учреждение «Орский нефтяной техникум им. Героя Советского Союза В.А. Сорокина» (ГАПОУ ОНТ им. В.А. Сорокина), </w:t>
      </w:r>
      <w:r>
        <w:rPr>
          <w:rFonts w:ascii="Times New Roman" w:hAnsi="Times New Roman"/>
          <w:sz w:val="24"/>
        </w:rPr>
        <w:t>именуемое в дальнейшем «</w:t>
      </w:r>
      <w:r>
        <w:rPr>
          <w:rFonts w:ascii="Times New Roman" w:hAnsi="Times New Roman"/>
          <w:sz w:val="24"/>
        </w:rPr>
        <w:t>Сторона 1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03.07.2014</w:t>
      </w:r>
      <w:r>
        <w:rPr>
          <w:rFonts w:ascii="Times New Roman" w:hAnsi="Times New Roman"/>
          <w:sz w:val="24"/>
        </w:rPr>
        <w:t xml:space="preserve"> № Л035 – 01248 - 56/00207652 выданной Министерством образования Оренбургской области бессрочно, </w:t>
      </w:r>
      <w:r>
        <w:rPr>
          <w:rFonts w:ascii="Times New Roman" w:hAnsi="Times New Roman"/>
          <w:sz w:val="24"/>
        </w:rPr>
        <w:t>в лице директора Кочетковой Т.Б., действующего на основании Устава,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  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именуемое в дальнейшем «</w:t>
      </w:r>
      <w:r>
        <w:rPr>
          <w:rFonts w:ascii="Times New Roman" w:hAnsi="Times New Roman"/>
          <w:sz w:val="24"/>
        </w:rPr>
        <w:t>Сторона 2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лицензия  на  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 деятельности от "___"_________ ____ г., N ______, выдана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лице _______________________________________, действующ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на  основа</w:t>
      </w:r>
      <w:r>
        <w:rPr>
          <w:rFonts w:ascii="Times New Roman" w:hAnsi="Times New Roman"/>
          <w:sz w:val="24"/>
        </w:rPr>
        <w:t>нии</w:t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>______________________________________________, с другой стороны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заключили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настоящий Договор о нижеследующем: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9000000">
      <w:pPr>
        <w:pStyle w:val="Style_1"/>
        <w:numPr>
          <w:ilvl w:val="0"/>
          <w:numId w:val="1"/>
        </w:numPr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Договора</w:t>
      </w: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B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Предметом настоящего Договора является реализация Сторонами </w:t>
      </w:r>
      <w:r>
        <w:rPr>
          <w:rFonts w:ascii="Times New Roman" w:hAnsi="Times New Roman"/>
          <w:sz w:val="24"/>
        </w:rPr>
        <w:t xml:space="preserve">дополнительных общеобразовательных программ </w:t>
      </w:r>
      <w:r>
        <w:rPr>
          <w:rFonts w:ascii="Times New Roman" w:hAnsi="Times New Roman"/>
          <w:sz w:val="24"/>
        </w:rPr>
        <w:t>«Основы алгоритмики и логики», «Кибергигиена и большие данные (BigDate)»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«Основы программирования на языке Python»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Образовательные программы)</w:t>
      </w:r>
      <w:r>
        <w:t xml:space="preserve"> </w:t>
      </w:r>
      <w:r>
        <w:rPr>
          <w:rFonts w:ascii="Times New Roman" w:hAnsi="Times New Roman"/>
          <w:sz w:val="24"/>
        </w:rPr>
        <w:t>на базе Центра цифрового образования «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-куб» (структурное подразделение ГАПОУ ОНТ им. В.А. Сорокина)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C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Основны</w:t>
      </w:r>
      <w:r>
        <w:rPr>
          <w:rFonts w:ascii="Times New Roman" w:hAnsi="Times New Roman"/>
          <w:sz w:val="24"/>
        </w:rPr>
        <w:t>е характеристики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Образовательных п</w:t>
      </w:r>
      <w:r>
        <w:rPr>
          <w:rFonts w:ascii="Times New Roman" w:hAnsi="Times New Roman"/>
          <w:sz w:val="24"/>
        </w:rPr>
        <w:t>рограмм</w:t>
      </w:r>
      <w:r>
        <w:rPr>
          <w:rFonts w:ascii="Times New Roman" w:hAnsi="Times New Roman"/>
          <w:sz w:val="24"/>
        </w:rPr>
        <w:t xml:space="preserve">: </w:t>
      </w:r>
    </w:p>
    <w:p w14:paraId="0D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«Основы алгоритмики и логики»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дополнительная общеобразовательная программа продолжительностью 36 часов, рассчитанная на учащихся 9-12 лет; </w:t>
      </w:r>
    </w:p>
    <w:p w14:paraId="0E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«Кибергигиена и большие данные (BigDate)»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дополнительная общеобразовательная программа продолжительностью 36 часов, рассчитанная на учащихся 12-17 лет; </w:t>
      </w:r>
    </w:p>
    <w:p w14:paraId="0F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«Основы программирования на языке Python»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дополнительная общеобразовательная программа продолжительностью 36 часов, рассчитанная на учащихся 13-17 лет. </w:t>
      </w:r>
    </w:p>
    <w:p w14:paraId="10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прохождения </w:t>
      </w:r>
      <w:r>
        <w:rPr>
          <w:rFonts w:ascii="Times New Roman" w:hAnsi="Times New Roman"/>
          <w:sz w:val="24"/>
        </w:rPr>
        <w:t>Образовательных программ обу</w:t>
      </w:r>
      <w:r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щиеся получа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 сертификат</w:t>
      </w:r>
      <w:r>
        <w:rPr>
          <w:rFonts w:ascii="Times New Roman" w:hAnsi="Times New Roman"/>
          <w:sz w:val="24"/>
        </w:rPr>
        <w:t>.</w:t>
      </w:r>
    </w:p>
    <w:p w14:paraId="11000000">
      <w:pPr>
        <w:pStyle w:val="Style_1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1.3 </w:t>
      </w:r>
      <w:r>
        <w:rPr>
          <w:rFonts w:ascii="Times New Roman" w:hAnsi="Times New Roman"/>
          <w:sz w:val="24"/>
        </w:rPr>
        <w:t>Образовательные программы</w:t>
      </w:r>
      <w:r>
        <w:rPr>
          <w:rFonts w:ascii="Times New Roman" w:hAnsi="Times New Roman"/>
          <w:sz w:val="24"/>
        </w:rPr>
        <w:t xml:space="preserve"> разрабатываю</w:t>
      </w:r>
      <w:r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утверждаю</w:t>
      </w:r>
      <w:r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color w:val="000000"/>
          <w:sz w:val="24"/>
        </w:rPr>
        <w:t>Стороной 1</w:t>
      </w:r>
      <w:r>
        <w:rPr>
          <w:rFonts w:ascii="Times New Roman" w:hAnsi="Times New Roman"/>
          <w:color w:val="000000"/>
          <w:sz w:val="24"/>
        </w:rPr>
        <w:t>.</w:t>
      </w:r>
      <w:bookmarkStart w:id="1" w:name="P29"/>
      <w:bookmarkEnd w:id="1"/>
    </w:p>
    <w:p w14:paraId="12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Зачисление на </w:t>
      </w:r>
      <w:r>
        <w:rPr>
          <w:rFonts w:ascii="Times New Roman" w:hAnsi="Times New Roman"/>
          <w:sz w:val="24"/>
        </w:rPr>
        <w:t xml:space="preserve">Образовательные </w:t>
      </w:r>
      <w:r>
        <w:rPr>
          <w:rFonts w:ascii="Times New Roman" w:hAnsi="Times New Roman"/>
          <w:sz w:val="24"/>
        </w:rPr>
        <w:t>программы, реализуемые Сторонами в сетевой форме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, производится в соответствии с Правила приема в 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ентр цифрового образования «IT-куб».</w:t>
      </w:r>
    </w:p>
    <w:p w14:paraId="13000000">
      <w:pPr>
        <w:pStyle w:val="Style_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bookmarkStart w:id="2" w:name="P33"/>
      <w:bookmarkEnd w:id="2"/>
      <w:r>
        <w:rPr>
          <w:rFonts w:ascii="Times New Roman" w:hAnsi="Times New Roman"/>
          <w:sz w:val="24"/>
        </w:rPr>
        <w:t xml:space="preserve">Образовательные </w:t>
      </w: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реализу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в период с "__"___________ ____ г. по "__"___________ ____ г.</w:t>
      </w:r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Осуществление образовательной деятельности</w:t>
      </w:r>
    </w:p>
    <w:p w14:paraId="16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реализации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z w:val="24"/>
        </w:rPr>
        <w:t xml:space="preserve"> программ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8000000">
      <w:pPr>
        <w:pStyle w:val="Style_1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 реализации </w:t>
      </w:r>
      <w:r>
        <w:rPr>
          <w:rFonts w:ascii="Times New Roman" w:hAnsi="Times New Roman"/>
          <w:sz w:val="24"/>
        </w:rPr>
        <w:t xml:space="preserve">Образовательных </w:t>
      </w:r>
      <w:r>
        <w:rPr>
          <w:rFonts w:ascii="Times New Roman" w:hAnsi="Times New Roman"/>
          <w:sz w:val="24"/>
        </w:rPr>
        <w:t>программ Стороны обеспечивают соответствие образовательной деятельности требованиям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Федерального закона от 29.12.2012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273-ФЗ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образовании 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Методически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рекомендаци</w:t>
      </w:r>
      <w:r>
        <w:rPr>
          <w:rFonts w:ascii="Times New Roman" w:hAnsi="Times New Roman"/>
          <w:color w:val="000000"/>
          <w:sz w:val="24"/>
        </w:rPr>
        <w:t>ям</w:t>
      </w:r>
      <w:r>
        <w:rPr>
          <w:rFonts w:ascii="Times New Roman" w:hAnsi="Times New Roman"/>
          <w:color w:val="000000"/>
          <w:sz w:val="24"/>
        </w:rPr>
        <w:t xml:space="preserve"> по созданию и функционированию цен</w:t>
      </w:r>
      <w:r>
        <w:rPr>
          <w:rFonts w:ascii="Times New Roman" w:hAnsi="Times New Roman"/>
          <w:color w:val="000000"/>
          <w:sz w:val="24"/>
        </w:rPr>
        <w:t>тров цифрового образования «IT-куб»</w:t>
      </w:r>
      <w:r>
        <w:rPr>
          <w:rFonts w:ascii="Times New Roman" w:hAnsi="Times New Roman"/>
          <w:color w:val="000000"/>
          <w:sz w:val="24"/>
        </w:rPr>
        <w:t>, у</w:t>
      </w:r>
      <w:r>
        <w:rPr>
          <w:rFonts w:ascii="Times New Roman" w:hAnsi="Times New Roman"/>
          <w:color w:val="000000"/>
          <w:sz w:val="24"/>
        </w:rPr>
        <w:t>тв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распоряжением Министерст</w:t>
      </w:r>
      <w:r>
        <w:rPr>
          <w:rFonts w:ascii="Times New Roman" w:hAnsi="Times New Roman"/>
          <w:color w:val="000000"/>
          <w:sz w:val="24"/>
        </w:rPr>
        <w:t xml:space="preserve">ва просвещения Российской Федерации от </w:t>
      </w:r>
      <w:r>
        <w:rPr>
          <w:rFonts w:ascii="Times New Roman" w:hAnsi="Times New Roman"/>
          <w:color w:val="000000"/>
          <w:sz w:val="24"/>
        </w:rPr>
        <w:t>12.01.2021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Р-5</w:t>
      </w:r>
      <w:r>
        <w:rPr>
          <w:rFonts w:ascii="Times New Roman" w:hAnsi="Times New Roman"/>
          <w:sz w:val="24"/>
        </w:rPr>
        <w:t>.</w:t>
      </w:r>
    </w:p>
    <w:p w14:paraId="19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>
        <w:rPr>
          <w:rFonts w:ascii="Times New Roman" w:hAnsi="Times New Roman"/>
          <w:sz w:val="24"/>
        </w:rPr>
        <w:t xml:space="preserve">Общее количество обучающихся по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бразовательным программам составляет _____ человек.</w:t>
      </w:r>
    </w:p>
    <w:p w14:paraId="1A000000">
      <w:pPr>
        <w:pStyle w:val="Style_1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Поименный список обучающихся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</w:t>
      </w:r>
      <w:r>
        <w:rPr>
          <w:rFonts w:ascii="Times New Roman" w:hAnsi="Times New Roman"/>
          <w:sz w:val="24"/>
        </w:rPr>
        <w:t>е - Список) направля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sz w:val="24"/>
        </w:rPr>
        <w:t xml:space="preserve"> Стороной 1 Стороной 2 </w:t>
      </w:r>
      <w:r>
        <w:rPr>
          <w:rFonts w:ascii="Times New Roman" w:hAnsi="Times New Roman"/>
          <w:sz w:val="24"/>
        </w:rPr>
        <w:t xml:space="preserve">не менее чем за </w:t>
      </w:r>
      <w:r>
        <w:rPr>
          <w:rFonts w:ascii="Times New Roman" w:hAnsi="Times New Roman"/>
          <w:sz w:val="24"/>
        </w:rPr>
        <w:t>3 (три)</w:t>
      </w:r>
      <w:r>
        <w:rPr>
          <w:rFonts w:ascii="Times New Roman" w:hAnsi="Times New Roman"/>
          <w:sz w:val="24"/>
        </w:rPr>
        <w:t xml:space="preserve"> рабочих дня</w:t>
      </w:r>
      <w:r>
        <w:rPr>
          <w:rFonts w:ascii="Times New Roman" w:hAnsi="Times New Roman"/>
          <w:sz w:val="24"/>
        </w:rPr>
        <w:t xml:space="preserve"> до начала ре</w:t>
      </w:r>
      <w:r>
        <w:rPr>
          <w:rFonts w:ascii="Times New Roman" w:hAnsi="Times New Roman"/>
          <w:sz w:val="24"/>
        </w:rPr>
        <w:t>ализации соответствующих</w:t>
      </w:r>
      <w:r>
        <w:rPr>
          <w:rFonts w:ascii="Times New Roman" w:hAnsi="Times New Roman"/>
          <w:sz w:val="24"/>
        </w:rPr>
        <w:t xml:space="preserve"> частей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программ.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измен</w:t>
      </w:r>
      <w:r>
        <w:rPr>
          <w:rFonts w:ascii="Times New Roman" w:hAnsi="Times New Roman"/>
          <w:sz w:val="24"/>
        </w:rPr>
        <w:t>ении состава обучающихся</w:t>
      </w:r>
      <w:r>
        <w:rPr>
          <w:rFonts w:ascii="Times New Roman" w:hAnsi="Times New Roman"/>
          <w:sz w:val="24"/>
        </w:rPr>
        <w:t xml:space="preserve"> Сторона 2</w:t>
      </w:r>
      <w:r>
        <w:rPr>
          <w:rFonts w:ascii="Times New Roman" w:hAnsi="Times New Roman"/>
          <w:sz w:val="24"/>
        </w:rPr>
        <w:t xml:space="preserve"> должна незамедлительно проинф</w:t>
      </w:r>
      <w:r>
        <w:rPr>
          <w:rFonts w:ascii="Times New Roman" w:hAnsi="Times New Roman"/>
          <w:sz w:val="24"/>
        </w:rPr>
        <w:t xml:space="preserve">ормировать </w:t>
      </w:r>
      <w:r>
        <w:rPr>
          <w:rFonts w:ascii="Times New Roman" w:hAnsi="Times New Roman"/>
          <w:color w:val="000000"/>
          <w:sz w:val="24"/>
        </w:rPr>
        <w:t>Сторону 1.</w:t>
      </w:r>
    </w:p>
    <w:p w14:paraId="1B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Обучающимся, успе</w:t>
      </w:r>
      <w:r>
        <w:rPr>
          <w:rFonts w:ascii="Times New Roman" w:hAnsi="Times New Roman"/>
          <w:sz w:val="24"/>
        </w:rPr>
        <w:t xml:space="preserve">шно прошедшим обучение по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бразовательной программе, </w:t>
      </w:r>
      <w:r>
        <w:rPr>
          <w:rFonts w:ascii="Times New Roman" w:hAnsi="Times New Roman"/>
          <w:sz w:val="24"/>
        </w:rPr>
        <w:t xml:space="preserve">Стороной 1 </w:t>
      </w:r>
      <w:r>
        <w:rPr>
          <w:rFonts w:ascii="Times New Roman" w:hAnsi="Times New Roman"/>
          <w:sz w:val="24"/>
        </w:rPr>
        <w:t xml:space="preserve">выдается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>.</w:t>
      </w: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Обязательства Сторон</w:t>
      </w: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F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.1. В рамках сетевой формы реализации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бразовательных программ Стороны:</w:t>
      </w:r>
    </w:p>
    <w:p w14:paraId="20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.1.1</w:t>
      </w:r>
      <w:r>
        <w:rPr>
          <w:rFonts w:ascii="Times New Roman" w:hAnsi="Times New Roman"/>
          <w:sz w:val="24"/>
        </w:rPr>
        <w:t xml:space="preserve">. Гарантируют доступ обучающихся, непосредственно участвующих в сетевой форме реализации </w:t>
      </w:r>
      <w:r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z w:val="24"/>
        </w:rPr>
        <w:t xml:space="preserve"> программ,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14:paraId="21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.1.2</w:t>
      </w:r>
      <w:r>
        <w:rPr>
          <w:rFonts w:ascii="Times New Roman" w:hAnsi="Times New Roman"/>
          <w:sz w:val="24"/>
        </w:rPr>
        <w:t xml:space="preserve">. Обеспечивают учет и документирование результатов освоения обучающимися соответствующих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бразовательных программ</w:t>
      </w:r>
      <w:r>
        <w:rPr>
          <w:rFonts w:ascii="Times New Roman" w:hAnsi="Times New Roman"/>
          <w:sz w:val="24"/>
        </w:rPr>
        <w:t>.</w:t>
      </w:r>
    </w:p>
    <w:p w14:paraId="22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.1.3</w:t>
      </w:r>
      <w:r>
        <w:rPr>
          <w:rFonts w:ascii="Times New Roman" w:hAnsi="Times New Roman"/>
          <w:sz w:val="24"/>
        </w:rPr>
        <w:t>. Согласов</w:t>
      </w:r>
      <w:r>
        <w:rPr>
          <w:rFonts w:ascii="Times New Roman" w:hAnsi="Times New Roman"/>
          <w:sz w:val="24"/>
        </w:rPr>
        <w:t>ывают порядок обучения</w:t>
      </w:r>
      <w:r>
        <w:rPr>
          <w:rFonts w:ascii="Times New Roman" w:hAnsi="Times New Roman"/>
          <w:sz w:val="24"/>
        </w:rPr>
        <w:t xml:space="preserve"> с родителями (законными представителями) обучающихся.</w:t>
      </w:r>
    </w:p>
    <w:p w14:paraId="23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.1.4</w:t>
      </w:r>
      <w:r>
        <w:rPr>
          <w:rFonts w:ascii="Times New Roman" w:hAnsi="Times New Roman"/>
          <w:sz w:val="24"/>
        </w:rPr>
        <w:t>. Предоставляют по запросам Сторон необходимую информацию участникам образовательных отношений.</w:t>
      </w:r>
    </w:p>
    <w:p w14:paraId="24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.1.5</w:t>
      </w:r>
      <w:r>
        <w:rPr>
          <w:rFonts w:ascii="Times New Roman" w:hAnsi="Times New Roman"/>
          <w:sz w:val="24"/>
        </w:rPr>
        <w:t>. 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т.д.).</w:t>
      </w:r>
    </w:p>
    <w:p w14:paraId="25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Сторона 2 обеспечивает участие обучающихся в реализации Образовательных программ.</w:t>
      </w:r>
    </w:p>
    <w:p w14:paraId="26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</w:p>
    <w:p w14:paraId="27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Ответственность Сторон</w:t>
      </w:r>
    </w:p>
    <w:p w14:paraId="28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9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.1.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Федерации.</w:t>
      </w:r>
    </w:p>
    <w:p w14:paraId="2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B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Срок действия Договора, изменение и расторжение Договора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.1. Договор вступает в силу с момента его подписания обеими Сторонами и </w:t>
      </w:r>
      <w:r>
        <w:rPr>
          <w:rFonts w:ascii="Times New Roman" w:hAnsi="Times New Roman"/>
          <w:sz w:val="24"/>
        </w:rPr>
        <w:t xml:space="preserve">действует на период реализации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</w:t>
      </w:r>
      <w:r>
        <w:rPr>
          <w:rFonts w:ascii="Times New Roman" w:hAnsi="Times New Roman"/>
          <w:sz w:val="24"/>
        </w:rPr>
        <w:t>ых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, предусмотренны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"P33"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Договора.</w:t>
      </w:r>
    </w:p>
    <w:p w14:paraId="2E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.2. Стороны в срок не менее чем за </w:t>
      </w:r>
      <w:r>
        <w:rPr>
          <w:rFonts w:ascii="Times New Roman" w:hAnsi="Times New Roman"/>
          <w:sz w:val="24"/>
        </w:rPr>
        <w:t>10 (десять)</w:t>
      </w:r>
      <w:r>
        <w:rPr>
          <w:rFonts w:ascii="Times New Roman" w:hAnsi="Times New Roman"/>
          <w:sz w:val="24"/>
        </w:rPr>
        <w:t xml:space="preserve"> календарных дней </w:t>
      </w:r>
      <w:r>
        <w:rPr>
          <w:rFonts w:ascii="Times New Roman" w:hAnsi="Times New Roman"/>
          <w:sz w:val="24"/>
        </w:rPr>
        <w:t>до дня окончания срока Договора извещают друг друга о его продлении или прекращении.</w:t>
      </w:r>
    </w:p>
    <w:p w14:paraId="2F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.3. 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14:paraId="30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.4. Договор может быть расторгнут досрочно по письменному соглашению Сторон. Предложение о досрочном расторжении настоящего Договора направляется курьером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заказным письмом с уведомлением о вручении и должно быть рассмотрено другой Стороной в течение </w:t>
      </w:r>
      <w:r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десяти) </w:t>
      </w:r>
      <w:r>
        <w:rPr>
          <w:rFonts w:ascii="Times New Roman" w:hAnsi="Times New Roman"/>
          <w:sz w:val="24"/>
        </w:rPr>
        <w:t>рабочих дней с момента его получения.</w:t>
      </w:r>
    </w:p>
    <w:p w14:paraId="3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2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Разрешение споров</w:t>
      </w:r>
    </w:p>
    <w:p w14:paraId="3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4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bookmarkStart w:id="3" w:name="P92"/>
      <w:bookmarkEnd w:id="3"/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35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.2. В случае недостижения соглашения в ходе переговоров,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"P92"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п.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6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  <w:bookmarkStart w:id="4" w:name="P95"/>
      <w:bookmarkEnd w:id="4"/>
    </w:p>
    <w:p w14:paraId="37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ascii="Times New Roman" w:hAnsi="Times New Roman"/>
          <w:sz w:val="24"/>
        </w:rPr>
        <w:t>10 (десяти)</w:t>
      </w:r>
      <w:r>
        <w:rPr>
          <w:rFonts w:ascii="Times New Roman" w:hAnsi="Times New Roman"/>
          <w:sz w:val="24"/>
        </w:rPr>
        <w:t xml:space="preserve"> рабочих дней со дня получения претензии.</w:t>
      </w:r>
    </w:p>
    <w:p w14:paraId="38000000">
      <w:pPr>
        <w:pStyle w:val="Style_1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.5. В случае неурегулирования разногласий в претензионном порядке, а также в случае неполучения ответа на претензию в течение срока, указанного в</w:t>
      </w:r>
      <w:r>
        <w:rPr>
          <w:rFonts w:ascii="Times New Roman" w:hAnsi="Times New Roman"/>
          <w:sz w:val="24"/>
        </w:rPr>
        <w:t xml:space="preserve"> пункте 6.4. н</w:t>
      </w:r>
      <w:r>
        <w:rPr>
          <w:rFonts w:ascii="Times New Roman" w:hAnsi="Times New Roman"/>
          <w:sz w:val="24"/>
        </w:rPr>
        <w:t>астоящего Договора, спор передается в арбитражный суд по месту нахождения ответчика в соответствии с действующим законодательством Российской Федерации.</w:t>
      </w:r>
    </w:p>
    <w:p w14:paraId="3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A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Заключительные положения</w:t>
      </w:r>
    </w:p>
    <w:p w14:paraId="3B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3C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3D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.2. Действие Договора прекращается в случае прекращения осуществления образовательной деятельности </w:t>
      </w:r>
      <w:r>
        <w:rPr>
          <w:rFonts w:ascii="Times New Roman" w:hAnsi="Times New Roman"/>
          <w:sz w:val="24"/>
        </w:rPr>
        <w:t>Стороны 1</w:t>
      </w:r>
      <w:r>
        <w:rPr>
          <w:rFonts w:ascii="Times New Roman" w:hAnsi="Times New Roman"/>
          <w:sz w:val="24"/>
        </w:rPr>
        <w:t xml:space="preserve">, приостановления действия или аннулирования лицензии на осуществление образовательной деятельности </w:t>
      </w:r>
      <w:r>
        <w:rPr>
          <w:rFonts w:ascii="Times New Roman" w:hAnsi="Times New Roman"/>
          <w:sz w:val="24"/>
        </w:rPr>
        <w:t>Стороны 1</w:t>
      </w:r>
      <w:r>
        <w:rPr>
          <w:rFonts w:ascii="Times New Roman" w:hAnsi="Times New Roman"/>
          <w:sz w:val="24"/>
        </w:rPr>
        <w:t xml:space="preserve">, прекращения деятельности </w:t>
      </w:r>
      <w:r>
        <w:rPr>
          <w:rFonts w:ascii="Times New Roman" w:hAnsi="Times New Roman"/>
          <w:sz w:val="24"/>
        </w:rPr>
        <w:t>Стороны 2</w:t>
      </w:r>
      <w:r>
        <w:rPr>
          <w:rFonts w:ascii="Times New Roman" w:hAnsi="Times New Roman"/>
          <w:sz w:val="24"/>
        </w:rPr>
        <w:t xml:space="preserve">, приостановления действия или аннулирования лицензии на осуществление образовательной деятельности </w:t>
      </w:r>
      <w:r>
        <w:rPr>
          <w:rFonts w:ascii="Times New Roman" w:hAnsi="Times New Roman"/>
          <w:sz w:val="24"/>
        </w:rPr>
        <w:t>Стороны 2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14:paraId="3F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40000000">
      <w:pPr>
        <w:pStyle w:val="Style_1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Адреса, реквизиты и подписи Сторон</w:t>
      </w:r>
    </w:p>
    <w:tbl>
      <w:tblPr>
        <w:tblStyle w:val="Style_2"/>
        <w:tblLayout w:type="fixed"/>
      </w:tblPr>
      <w:tblGrid>
        <w:gridCol w:w="5018"/>
        <w:gridCol w:w="5187"/>
      </w:tblGrid>
      <w:tr>
        <w:trPr>
          <w:trHeight w:hRule="atLeast" w:val="390"/>
        </w:trPr>
        <w:tc>
          <w:tcPr>
            <w:tcW w:type="dxa" w:w="5018"/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Сторона 1</w:t>
            </w:r>
          </w:p>
        </w:tc>
        <w:tc>
          <w:tcPr>
            <w:tcW w:type="dxa" w:w="5187"/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Сторона 2</w:t>
            </w:r>
          </w:p>
        </w:tc>
      </w:tr>
      <w:tr>
        <w:trPr>
          <w:trHeight w:hRule="atLeast" w:val="390"/>
        </w:trPr>
        <w:tc>
          <w:tcPr>
            <w:tcW w:type="dxa" w:w="5018"/>
          </w:tcPr>
          <w:p w14:paraId="4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ГАПОУ ОНТ им. В.А. Сорокина</w:t>
            </w:r>
          </w:p>
        </w:tc>
        <w:tc>
          <w:tcPr>
            <w:tcW w:type="dxa" w:w="5187"/>
          </w:tcPr>
          <w:p w14:paraId="4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2"/>
        </w:trPr>
        <w:tc>
          <w:tcPr>
            <w:tcW w:type="dxa" w:w="5018"/>
          </w:tcPr>
          <w:p w14:paraId="4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462431, Оренбургская обл., г. Орск, пр.Ленина/ул. Тагильская, д. 81/29</w:t>
            </w:r>
          </w:p>
        </w:tc>
        <w:tc>
          <w:tcPr>
            <w:tcW w:type="dxa" w:w="5187"/>
          </w:tcPr>
          <w:p w14:paraId="4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1"/>
        </w:trPr>
        <w:tc>
          <w:tcPr>
            <w:tcW w:type="dxa" w:w="5018"/>
          </w:tcPr>
          <w:p w14:paraId="4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5615007955   КПП 561401001</w:t>
            </w:r>
          </w:p>
        </w:tc>
        <w:tc>
          <w:tcPr>
            <w:tcW w:type="dxa" w:w="5187"/>
          </w:tcPr>
          <w:p w14:paraId="4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5018"/>
          </w:tcPr>
          <w:p w14:paraId="4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Оренбургской области (ГАПОУ ОНТ им. В.А. Сорокина </w:t>
            </w:r>
          </w:p>
          <w:p w14:paraId="4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л/с 034091440) </w:t>
            </w:r>
          </w:p>
        </w:tc>
        <w:tc>
          <w:tcPr>
            <w:tcW w:type="dxa" w:w="5187"/>
          </w:tcPr>
          <w:p w14:paraId="4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1"/>
        </w:trPr>
        <w:tc>
          <w:tcPr>
            <w:tcW w:type="dxa" w:w="5018"/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Казн. счет 03224643530000005300</w:t>
            </w:r>
          </w:p>
          <w:p w14:paraId="4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015354008</w:t>
            </w:r>
          </w:p>
          <w:p w14:paraId="4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40102810545370000045</w:t>
            </w:r>
          </w:p>
          <w:p w14:paraId="4F000000">
            <w:pPr>
              <w:pStyle w:val="Style_4"/>
            </w:pPr>
            <w:r>
              <w:rPr>
                <w:rFonts w:ascii="Times New Roman" w:hAnsi="Times New Roman"/>
                <w:sz w:val="24"/>
              </w:rPr>
              <w:t>Отделение Оренбург Банка России // УФК по Оренбургской области г. Оренбург</w:t>
            </w:r>
          </w:p>
        </w:tc>
        <w:tc>
          <w:tcPr>
            <w:tcW w:type="dxa" w:w="5187"/>
          </w:tcPr>
          <w:p w14:paraId="5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5018"/>
          </w:tcPr>
          <w:p/>
        </w:tc>
        <w:tc>
          <w:tcPr>
            <w:tcW w:type="dxa" w:w="5187"/>
          </w:tcPr>
          <w:p w14:paraId="5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63"/>
        </w:trPr>
        <w:tc>
          <w:tcPr>
            <w:tcW w:type="dxa" w:w="5018"/>
          </w:tcPr>
          <w:p w14:paraId="5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53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5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__________________Т.Б. Кочеткова</w:t>
            </w:r>
          </w:p>
        </w:tc>
        <w:tc>
          <w:tcPr>
            <w:tcW w:type="dxa" w:w="5187"/>
          </w:tcPr>
          <w:p w14:paraId="5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56000000">
      <w:pPr>
        <w:pStyle w:val="Style_1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ConsPlusNormal"/>
    <w:link w:val="Style_1_ch"/>
    <w:pPr>
      <w:widowControl w:val="0"/>
      <w:ind/>
    </w:pPr>
    <w:rPr>
      <w:sz w:val="22"/>
    </w:rPr>
  </w:style>
  <w:style w:styleId="Style_1_ch" w:type="character">
    <w:name w:val="ConsPlusNormal"/>
    <w:link w:val="Style_1"/>
    <w:rPr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Normal (Web)"/>
    <w:basedOn w:val="Style_5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5_ch"/>
    <w:link w:val="Style_19"/>
    <w:rPr>
      <w:rFonts w:ascii="Times New Roman" w:hAnsi="Times New Roman"/>
      <w:sz w:val="24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ConsPlusTitlePage"/>
    <w:link w:val="Style_21_ch"/>
    <w:pPr>
      <w:widowControl w:val="0"/>
      <w:ind/>
    </w:pPr>
    <w:rPr>
      <w:rFonts w:ascii="Tahoma" w:hAnsi="Tahoma"/>
    </w:rPr>
  </w:style>
  <w:style w:styleId="Style_21_ch" w:type="character">
    <w:name w:val="ConsPlusTitlePage"/>
    <w:link w:val="Style_21"/>
    <w:rPr>
      <w:rFonts w:ascii="Tahoma" w:hAnsi="Tahoma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2022-10-24T08:55:28Z</dcterms:modified>
</cp:coreProperties>
</file>